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260A2" w14:textId="77777777" w:rsidR="000C1E83" w:rsidRPr="000C1E83" w:rsidRDefault="000C1E83" w:rsidP="00C93723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720" w:right="-68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Eligibility:_THE_BASICS"/>
      <w:bookmarkEnd w:id="0"/>
      <w:r w:rsidRPr="000C1E83">
        <w:rPr>
          <w:rFonts w:ascii="Arial" w:hAnsi="Arial" w:cs="Arial"/>
          <w:b/>
          <w:bCs/>
          <w:sz w:val="28"/>
          <w:szCs w:val="28"/>
        </w:rPr>
        <w:t>ELIGIBILITY: THE BASICS</w:t>
      </w:r>
    </w:p>
    <w:p w14:paraId="3EE1EF02" w14:textId="77777777" w:rsidR="000C1E83" w:rsidRPr="00E74AF7" w:rsidRDefault="000C1E83" w:rsidP="00C9372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 w:right="-680"/>
        <w:rPr>
          <w:rFonts w:ascii="Arial" w:hAnsi="Arial" w:cs="Arial"/>
          <w:color w:val="303030"/>
          <w:sz w:val="18"/>
          <w:szCs w:val="18"/>
        </w:rPr>
      </w:pPr>
    </w:p>
    <w:p w14:paraId="7C9AF67D" w14:textId="77777777" w:rsidR="000C1E83" w:rsidRPr="00E74AF7" w:rsidRDefault="000C1E83" w:rsidP="00C93723">
      <w:pPr>
        <w:pStyle w:val="ListParagraph"/>
        <w:kinsoku w:val="0"/>
        <w:overflowPunct w:val="0"/>
        <w:autoSpaceDE w:val="0"/>
        <w:autoSpaceDN w:val="0"/>
        <w:adjustRightInd w:val="0"/>
        <w:spacing w:after="0" w:line="240" w:lineRule="auto"/>
        <w:ind w:right="-680"/>
        <w:rPr>
          <w:rFonts w:ascii="Arial" w:hAnsi="Arial" w:cs="Arial"/>
          <w:color w:val="303030"/>
          <w:sz w:val="18"/>
          <w:szCs w:val="18"/>
        </w:rPr>
      </w:pPr>
      <w:r w:rsidRPr="00E74AF7">
        <w:rPr>
          <w:rFonts w:ascii="Arial" w:hAnsi="Arial" w:cs="Arial"/>
          <w:color w:val="303030"/>
          <w:sz w:val="18"/>
          <w:szCs w:val="18"/>
        </w:rPr>
        <w:t>A child is eligible for the MEP (and thereby eligible to receive MEP services) if the child:</w:t>
      </w:r>
    </w:p>
    <w:p w14:paraId="5FEF26A6" w14:textId="77777777" w:rsidR="00CE390A" w:rsidRPr="00E74AF7" w:rsidRDefault="000C1E83" w:rsidP="00C93723">
      <w:pPr>
        <w:pStyle w:val="ListParagraph"/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680"/>
        <w:rPr>
          <w:rFonts w:ascii="Arial" w:hAnsi="Arial" w:cs="Arial"/>
          <w:color w:val="303030"/>
          <w:sz w:val="18"/>
          <w:szCs w:val="18"/>
        </w:rPr>
      </w:pPr>
      <w:r w:rsidRPr="00E74AF7">
        <w:rPr>
          <w:rFonts w:ascii="Arial" w:hAnsi="Arial" w:cs="Arial"/>
          <w:color w:val="303030"/>
          <w:sz w:val="18"/>
          <w:szCs w:val="18"/>
        </w:rPr>
        <w:t>Meets the definition of “migratory child”; and</w:t>
      </w:r>
    </w:p>
    <w:p w14:paraId="74AA9747" w14:textId="77777777" w:rsidR="00261264" w:rsidRPr="00E74AF7" w:rsidRDefault="000C1E83" w:rsidP="00C93723">
      <w:pPr>
        <w:pStyle w:val="ListParagraph"/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680"/>
        <w:rPr>
          <w:rFonts w:ascii="Arial" w:hAnsi="Arial" w:cs="Arial"/>
          <w:color w:val="303030"/>
          <w:sz w:val="18"/>
          <w:szCs w:val="18"/>
        </w:rPr>
      </w:pPr>
      <w:r w:rsidRPr="00E74AF7">
        <w:rPr>
          <w:rFonts w:ascii="Arial" w:hAnsi="Arial" w:cs="Arial"/>
          <w:color w:val="303030"/>
          <w:sz w:val="18"/>
          <w:szCs w:val="18"/>
        </w:rPr>
        <w:t>Had the basis for th</w:t>
      </w:r>
      <w:r w:rsidR="00CE390A" w:rsidRPr="00E74AF7">
        <w:rPr>
          <w:rFonts w:ascii="Arial" w:hAnsi="Arial" w:cs="Arial"/>
          <w:color w:val="303030"/>
          <w:sz w:val="18"/>
          <w:szCs w:val="18"/>
        </w:rPr>
        <w:t>e</w:t>
      </w:r>
      <w:r w:rsidRPr="00E74AF7">
        <w:rPr>
          <w:rFonts w:ascii="Arial" w:hAnsi="Arial" w:cs="Arial"/>
          <w:color w:val="303030"/>
          <w:sz w:val="18"/>
          <w:szCs w:val="18"/>
        </w:rPr>
        <w:t xml:space="preserve"> State’s determination that the child is a “migratory child” properly recorded on the national Cer</w:t>
      </w:r>
      <w:r w:rsidR="009D2E36" w:rsidRPr="00E74AF7">
        <w:rPr>
          <w:rFonts w:ascii="Arial" w:hAnsi="Arial" w:cs="Arial"/>
          <w:color w:val="303030"/>
          <w:sz w:val="18"/>
          <w:szCs w:val="18"/>
        </w:rPr>
        <w:t>t</w:t>
      </w:r>
      <w:r w:rsidRPr="00E74AF7">
        <w:rPr>
          <w:rFonts w:ascii="Arial" w:hAnsi="Arial" w:cs="Arial"/>
          <w:color w:val="303030"/>
          <w:sz w:val="18"/>
          <w:szCs w:val="18"/>
        </w:rPr>
        <w:t>ificate of Eligibility</w:t>
      </w:r>
      <w:r w:rsidR="00A00026">
        <w:rPr>
          <w:rFonts w:ascii="Arial" w:hAnsi="Arial" w:cs="Arial"/>
          <w:color w:val="303030"/>
          <w:sz w:val="18"/>
          <w:szCs w:val="18"/>
        </w:rPr>
        <w:t xml:space="preserve"> (COE).</w:t>
      </w:r>
    </w:p>
    <w:p w14:paraId="4F7A6AFD" w14:textId="77777777" w:rsidR="006E73CC" w:rsidRPr="00A156D6" w:rsidRDefault="006E73CC" w:rsidP="00C93723">
      <w:pPr>
        <w:pStyle w:val="ListParagraph"/>
        <w:kinsoku w:val="0"/>
        <w:overflowPunct w:val="0"/>
        <w:autoSpaceDE w:val="0"/>
        <w:autoSpaceDN w:val="0"/>
        <w:adjustRightInd w:val="0"/>
        <w:spacing w:after="0" w:line="240" w:lineRule="auto"/>
        <w:ind w:right="-680"/>
        <w:rPr>
          <w:rFonts w:ascii="Arial" w:hAnsi="Arial" w:cs="Arial"/>
          <w:color w:val="303030"/>
          <w:sz w:val="18"/>
          <w:szCs w:val="18"/>
        </w:rPr>
      </w:pPr>
    </w:p>
    <w:p w14:paraId="266750D7" w14:textId="77777777" w:rsidR="00CE390A" w:rsidRPr="00A156D6" w:rsidRDefault="00CE390A" w:rsidP="00C93723">
      <w:pPr>
        <w:pStyle w:val="ListParagraph"/>
        <w:kinsoku w:val="0"/>
        <w:overflowPunct w:val="0"/>
        <w:autoSpaceDE w:val="0"/>
        <w:autoSpaceDN w:val="0"/>
        <w:adjustRightInd w:val="0"/>
        <w:spacing w:after="0" w:line="240" w:lineRule="auto"/>
        <w:ind w:right="-680"/>
        <w:rPr>
          <w:rFonts w:ascii="Arial" w:hAnsi="Arial" w:cs="Arial"/>
          <w:color w:val="303030"/>
          <w:sz w:val="21"/>
          <w:szCs w:val="21"/>
        </w:rPr>
      </w:pPr>
      <w:r w:rsidRPr="00A156D6">
        <w:rPr>
          <w:rFonts w:ascii="Arial" w:hAnsi="Arial" w:cs="Arial"/>
          <w:b/>
          <w:color w:val="303030"/>
          <w:sz w:val="21"/>
          <w:szCs w:val="21"/>
        </w:rPr>
        <w:t>MIGRATORY CHILD</w:t>
      </w:r>
    </w:p>
    <w:p w14:paraId="64951548" w14:textId="77777777" w:rsidR="00A37E23" w:rsidRPr="00E74AF7" w:rsidRDefault="00CE390A" w:rsidP="00C93723">
      <w:pPr>
        <w:pStyle w:val="ListParagraph"/>
        <w:numPr>
          <w:ilvl w:val="0"/>
          <w:numId w:val="35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680"/>
        <w:rPr>
          <w:rFonts w:ascii="Arial" w:hAnsi="Arial" w:cs="Arial"/>
          <w:color w:val="303030"/>
          <w:sz w:val="18"/>
          <w:szCs w:val="18"/>
        </w:rPr>
      </w:pPr>
      <w:r w:rsidRPr="00E74AF7">
        <w:rPr>
          <w:rFonts w:ascii="Arial" w:hAnsi="Arial" w:cs="Arial"/>
          <w:color w:val="303030"/>
          <w:sz w:val="18"/>
          <w:szCs w:val="18"/>
        </w:rPr>
        <w:t>Is not older than 21 years of age; and</w:t>
      </w:r>
    </w:p>
    <w:p w14:paraId="465E4871" w14:textId="77777777" w:rsidR="00A37E23" w:rsidRPr="00E74AF7" w:rsidRDefault="00CE390A" w:rsidP="00C93723">
      <w:pPr>
        <w:pStyle w:val="ListParagraph"/>
        <w:numPr>
          <w:ilvl w:val="0"/>
          <w:numId w:val="35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680"/>
        <w:rPr>
          <w:rFonts w:ascii="Arial" w:hAnsi="Arial" w:cs="Arial"/>
          <w:color w:val="303030"/>
          <w:sz w:val="18"/>
          <w:szCs w:val="18"/>
        </w:rPr>
      </w:pPr>
      <w:r w:rsidRPr="00E74AF7">
        <w:rPr>
          <w:rFonts w:ascii="Arial" w:hAnsi="Arial" w:cs="Arial"/>
          <w:color w:val="303030"/>
          <w:sz w:val="18"/>
          <w:szCs w:val="18"/>
        </w:rPr>
        <w:t>Is entitled to a free public education (through grade 12) under State law, or is not yet at a grade level at which the local educational agency (LEA) provi</w:t>
      </w:r>
      <w:r w:rsidR="00391260" w:rsidRPr="00E74AF7">
        <w:rPr>
          <w:rFonts w:ascii="Arial" w:hAnsi="Arial" w:cs="Arial"/>
          <w:color w:val="303030"/>
          <w:sz w:val="18"/>
          <w:szCs w:val="18"/>
        </w:rPr>
        <w:t>de</w:t>
      </w:r>
      <w:r w:rsidRPr="00E74AF7">
        <w:rPr>
          <w:rFonts w:ascii="Arial" w:hAnsi="Arial" w:cs="Arial"/>
          <w:color w:val="303030"/>
          <w:sz w:val="18"/>
          <w:szCs w:val="18"/>
        </w:rPr>
        <w:t>s a free public education; and</w:t>
      </w:r>
    </w:p>
    <w:p w14:paraId="2A0DF65C" w14:textId="77777777" w:rsidR="00A37E23" w:rsidRPr="00E74AF7" w:rsidRDefault="00CE390A" w:rsidP="00C93723">
      <w:pPr>
        <w:pStyle w:val="ListParagraph"/>
        <w:numPr>
          <w:ilvl w:val="0"/>
          <w:numId w:val="35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680"/>
        <w:rPr>
          <w:rFonts w:ascii="Arial" w:hAnsi="Arial" w:cs="Arial"/>
          <w:color w:val="303030"/>
          <w:sz w:val="18"/>
          <w:szCs w:val="18"/>
        </w:rPr>
      </w:pPr>
      <w:r w:rsidRPr="00E74AF7">
        <w:rPr>
          <w:rFonts w:ascii="Arial" w:hAnsi="Arial" w:cs="Arial"/>
          <w:color w:val="303030"/>
          <w:sz w:val="18"/>
          <w:szCs w:val="18"/>
        </w:rPr>
        <w:t>Made a qualifying move in</w:t>
      </w:r>
      <w:r w:rsidR="00C00ACD">
        <w:rPr>
          <w:rFonts w:ascii="Arial" w:hAnsi="Arial" w:cs="Arial"/>
          <w:color w:val="303030"/>
          <w:sz w:val="18"/>
          <w:szCs w:val="18"/>
        </w:rPr>
        <w:t xml:space="preserve"> the</w:t>
      </w:r>
      <w:r w:rsidRPr="00E74AF7">
        <w:rPr>
          <w:rFonts w:ascii="Arial" w:hAnsi="Arial" w:cs="Arial"/>
          <w:color w:val="303030"/>
          <w:sz w:val="18"/>
          <w:szCs w:val="18"/>
        </w:rPr>
        <w:t xml:space="preserve"> preceding 36 months:</w:t>
      </w:r>
    </w:p>
    <w:p w14:paraId="74B1030E" w14:textId="77777777" w:rsidR="00A37E23" w:rsidRPr="00E74AF7" w:rsidRDefault="00CE390A" w:rsidP="00C93723">
      <w:pPr>
        <w:pStyle w:val="ListParagraph"/>
        <w:numPr>
          <w:ilvl w:val="0"/>
          <w:numId w:val="38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680"/>
        <w:rPr>
          <w:rFonts w:ascii="Arial" w:hAnsi="Arial" w:cs="Arial"/>
          <w:color w:val="303030"/>
          <w:sz w:val="18"/>
          <w:szCs w:val="18"/>
        </w:rPr>
      </w:pPr>
      <w:r w:rsidRPr="00E74AF7">
        <w:rPr>
          <w:rFonts w:ascii="Arial" w:hAnsi="Arial" w:cs="Arial"/>
          <w:color w:val="303030"/>
          <w:sz w:val="18"/>
          <w:szCs w:val="18"/>
        </w:rPr>
        <w:t>As a migratory agricultural worker or migratory fisher, or</w:t>
      </w:r>
    </w:p>
    <w:p w14:paraId="45CF35E8" w14:textId="77777777" w:rsidR="004D5CED" w:rsidRPr="00E74AF7" w:rsidRDefault="00CE390A" w:rsidP="004D5CED">
      <w:pPr>
        <w:pStyle w:val="ListParagraph"/>
        <w:numPr>
          <w:ilvl w:val="0"/>
          <w:numId w:val="38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680"/>
        <w:rPr>
          <w:rFonts w:ascii="Arial" w:hAnsi="Arial" w:cs="Arial"/>
          <w:color w:val="303030"/>
          <w:sz w:val="18"/>
          <w:szCs w:val="18"/>
        </w:rPr>
      </w:pPr>
      <w:r w:rsidRPr="00E74AF7">
        <w:rPr>
          <w:rFonts w:ascii="Arial" w:hAnsi="Arial" w:cs="Arial"/>
          <w:color w:val="303030"/>
          <w:sz w:val="18"/>
          <w:szCs w:val="18"/>
        </w:rPr>
        <w:t>With or to join a parent/guardian or spouse who is a migratory agricultural worker or migratory fisher</w:t>
      </w:r>
    </w:p>
    <w:p w14:paraId="3953EF01" w14:textId="77777777" w:rsidR="004D5CED" w:rsidRPr="00E74AF7" w:rsidRDefault="004D5CED" w:rsidP="004D5CE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 w:right="-680" w:hanging="720"/>
        <w:rPr>
          <w:rFonts w:ascii="Arial" w:hAnsi="Arial" w:cs="Arial"/>
          <w:color w:val="FF0000"/>
          <w:sz w:val="14"/>
          <w:szCs w:val="14"/>
        </w:rPr>
      </w:pPr>
      <w:r w:rsidRPr="00E74AF7">
        <w:rPr>
          <w:rFonts w:ascii="Arial" w:hAnsi="Arial" w:cs="Arial"/>
          <w:color w:val="FF0000"/>
          <w:sz w:val="14"/>
          <w:szCs w:val="14"/>
        </w:rPr>
        <w:t xml:space="preserve">             </w:t>
      </w:r>
      <w:r w:rsidR="00391260" w:rsidRPr="00E74AF7">
        <w:rPr>
          <w:rFonts w:ascii="Arial" w:hAnsi="Arial" w:cs="Arial"/>
          <w:color w:val="FF0000"/>
          <w:sz w:val="14"/>
          <w:szCs w:val="14"/>
        </w:rPr>
        <w:t xml:space="preserve">  </w:t>
      </w:r>
      <w:r w:rsidRPr="00E74AF7">
        <w:rPr>
          <w:rFonts w:ascii="Arial" w:hAnsi="Arial" w:cs="Arial"/>
          <w:color w:val="FF0000"/>
          <w:sz w:val="14"/>
          <w:szCs w:val="14"/>
        </w:rPr>
        <w:t xml:space="preserve"> ((see section 1115(c)(1)(A) of the ESEA (incorporated into the MEP by sections 1304(c)(2), 1115(b), and 1309(3)) and 34 CFR 200.103(a); and        Chapter II, A1-A7 of </w:t>
      </w:r>
      <w:r w:rsidRPr="00E74AF7">
        <w:rPr>
          <w:rFonts w:ascii="Arial" w:hAnsi="Arial" w:cs="Arial"/>
          <w:i/>
          <w:iCs/>
          <w:color w:val="FF0000"/>
          <w:sz w:val="14"/>
          <w:szCs w:val="14"/>
        </w:rPr>
        <w:t>MEP Non-Regulatory Guidance (NRG)</w:t>
      </w:r>
      <w:r w:rsidRPr="00E74AF7">
        <w:rPr>
          <w:rFonts w:ascii="Arial" w:hAnsi="Arial" w:cs="Arial"/>
          <w:color w:val="FF0000"/>
          <w:sz w:val="14"/>
          <w:szCs w:val="14"/>
        </w:rPr>
        <w:t>)</w:t>
      </w:r>
    </w:p>
    <w:p w14:paraId="6404DE84" w14:textId="77777777" w:rsidR="00391260" w:rsidRPr="00A156D6" w:rsidRDefault="00391260" w:rsidP="004D5CE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 w:right="-680" w:hanging="720"/>
        <w:rPr>
          <w:rFonts w:ascii="Arial" w:hAnsi="Arial" w:cs="Arial"/>
          <w:color w:val="FF0000"/>
          <w:sz w:val="16"/>
          <w:szCs w:val="16"/>
        </w:rPr>
      </w:pPr>
    </w:p>
    <w:p w14:paraId="29D95009" w14:textId="77777777" w:rsidR="00261264" w:rsidRPr="00A156D6" w:rsidRDefault="00391260" w:rsidP="00C9372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680"/>
        <w:rPr>
          <w:rFonts w:ascii="Arial" w:hAnsi="Arial" w:cs="Arial"/>
          <w:b/>
          <w:color w:val="303030"/>
          <w:sz w:val="21"/>
          <w:szCs w:val="21"/>
        </w:rPr>
      </w:pPr>
      <w:r w:rsidRPr="00A156D6">
        <w:rPr>
          <w:rFonts w:ascii="Arial" w:hAnsi="Arial" w:cs="Arial"/>
          <w:color w:val="303030"/>
          <w:sz w:val="21"/>
          <w:szCs w:val="21"/>
        </w:rPr>
        <w:t xml:space="preserve">            </w:t>
      </w:r>
      <w:r w:rsidR="00261264" w:rsidRPr="00A156D6">
        <w:rPr>
          <w:rFonts w:ascii="Arial" w:hAnsi="Arial" w:cs="Arial"/>
          <w:b/>
          <w:color w:val="303030"/>
          <w:sz w:val="21"/>
          <w:szCs w:val="21"/>
        </w:rPr>
        <w:t xml:space="preserve">QUALIFYING </w:t>
      </w:r>
      <w:r w:rsidR="00CD1023" w:rsidRPr="00A156D6">
        <w:rPr>
          <w:rFonts w:ascii="Arial" w:hAnsi="Arial" w:cs="Arial"/>
          <w:b/>
          <w:color w:val="303030"/>
          <w:sz w:val="21"/>
          <w:szCs w:val="21"/>
        </w:rPr>
        <w:t>MOVE</w:t>
      </w:r>
    </w:p>
    <w:p w14:paraId="10E03A32" w14:textId="77777777" w:rsidR="00261264" w:rsidRPr="00E74AF7" w:rsidRDefault="00261264" w:rsidP="00C93723">
      <w:pPr>
        <w:pStyle w:val="ListParagraph"/>
        <w:numPr>
          <w:ilvl w:val="0"/>
          <w:numId w:val="3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680"/>
        <w:rPr>
          <w:rFonts w:ascii="Arial" w:hAnsi="Arial" w:cs="Arial"/>
          <w:b/>
          <w:color w:val="303030"/>
          <w:sz w:val="18"/>
          <w:szCs w:val="18"/>
        </w:rPr>
      </w:pPr>
      <w:r w:rsidRPr="00E74AF7">
        <w:rPr>
          <w:rFonts w:ascii="Arial" w:hAnsi="Arial" w:cs="Arial"/>
          <w:color w:val="303030"/>
          <w:sz w:val="18"/>
          <w:szCs w:val="18"/>
        </w:rPr>
        <w:t xml:space="preserve">Due to economic necessity; </w:t>
      </w:r>
      <w:r w:rsidRPr="00E74AF7">
        <w:rPr>
          <w:rFonts w:ascii="Arial" w:hAnsi="Arial" w:cs="Arial"/>
          <w:color w:val="303030"/>
          <w:sz w:val="18"/>
          <w:szCs w:val="18"/>
          <w:u w:val="single"/>
        </w:rPr>
        <w:t>and</w:t>
      </w:r>
    </w:p>
    <w:p w14:paraId="05254A3D" w14:textId="77777777" w:rsidR="00261264" w:rsidRPr="00E74AF7" w:rsidRDefault="00261264" w:rsidP="00C93723">
      <w:pPr>
        <w:pStyle w:val="ListParagraph"/>
        <w:numPr>
          <w:ilvl w:val="0"/>
          <w:numId w:val="3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680"/>
        <w:rPr>
          <w:rFonts w:ascii="Arial" w:hAnsi="Arial" w:cs="Arial"/>
          <w:color w:val="303030"/>
          <w:sz w:val="18"/>
          <w:szCs w:val="18"/>
        </w:rPr>
      </w:pPr>
      <w:r w:rsidRPr="00E74AF7">
        <w:rPr>
          <w:rFonts w:ascii="Arial" w:hAnsi="Arial" w:cs="Arial"/>
          <w:color w:val="303030"/>
          <w:sz w:val="18"/>
          <w:szCs w:val="18"/>
        </w:rPr>
        <w:t xml:space="preserve">From one residence to another; </w:t>
      </w:r>
      <w:r w:rsidRPr="00E74AF7">
        <w:rPr>
          <w:rFonts w:ascii="Arial" w:hAnsi="Arial" w:cs="Arial"/>
          <w:color w:val="303030"/>
          <w:sz w:val="18"/>
          <w:szCs w:val="18"/>
          <w:u w:val="single"/>
        </w:rPr>
        <w:t>and</w:t>
      </w:r>
    </w:p>
    <w:p w14:paraId="029DB0E0" w14:textId="77777777" w:rsidR="00261264" w:rsidRPr="00E74AF7" w:rsidRDefault="00261264" w:rsidP="00C93723">
      <w:pPr>
        <w:pStyle w:val="ListParagraph"/>
        <w:numPr>
          <w:ilvl w:val="0"/>
          <w:numId w:val="3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680"/>
        <w:rPr>
          <w:rFonts w:ascii="Arial" w:hAnsi="Arial" w:cs="Arial"/>
          <w:color w:val="303030"/>
          <w:sz w:val="18"/>
          <w:szCs w:val="18"/>
        </w:rPr>
      </w:pPr>
      <w:r w:rsidRPr="00E74AF7">
        <w:rPr>
          <w:rFonts w:ascii="Arial" w:hAnsi="Arial" w:cs="Arial"/>
          <w:color w:val="303030"/>
          <w:sz w:val="18"/>
          <w:szCs w:val="18"/>
        </w:rPr>
        <w:t>From one school district to another school district, with specific exceptions:</w:t>
      </w:r>
    </w:p>
    <w:p w14:paraId="76972304" w14:textId="77777777" w:rsidR="00261264" w:rsidRPr="00E74AF7" w:rsidRDefault="00261264" w:rsidP="00C93723">
      <w:pPr>
        <w:pStyle w:val="ListParagraph"/>
        <w:numPr>
          <w:ilvl w:val="0"/>
          <w:numId w:val="4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680"/>
        <w:rPr>
          <w:rFonts w:ascii="Arial" w:hAnsi="Arial" w:cs="Arial"/>
          <w:color w:val="303030"/>
          <w:sz w:val="18"/>
          <w:szCs w:val="18"/>
        </w:rPr>
      </w:pPr>
      <w:r w:rsidRPr="00E74AF7">
        <w:rPr>
          <w:rFonts w:ascii="Arial" w:hAnsi="Arial" w:cs="Arial"/>
          <w:color w:val="303030"/>
          <w:sz w:val="18"/>
          <w:szCs w:val="18"/>
        </w:rPr>
        <w:t xml:space="preserve">For single-district States, </w:t>
      </w:r>
      <w:r w:rsidR="00E453F4">
        <w:rPr>
          <w:rFonts w:ascii="Arial" w:hAnsi="Arial" w:cs="Arial"/>
          <w:color w:val="303030"/>
          <w:sz w:val="18"/>
          <w:szCs w:val="18"/>
        </w:rPr>
        <w:t>m</w:t>
      </w:r>
      <w:r w:rsidRPr="00E74AF7">
        <w:rPr>
          <w:rFonts w:ascii="Arial" w:hAnsi="Arial" w:cs="Arial"/>
          <w:color w:val="303030"/>
          <w:sz w:val="18"/>
          <w:szCs w:val="18"/>
        </w:rPr>
        <w:t>ust be from one administrative area to another</w:t>
      </w:r>
    </w:p>
    <w:p w14:paraId="1F273FA7" w14:textId="77777777" w:rsidR="004D5CED" w:rsidRPr="00E74AF7" w:rsidRDefault="00261264" w:rsidP="004D5CED">
      <w:pPr>
        <w:pStyle w:val="ListParagraph"/>
        <w:numPr>
          <w:ilvl w:val="0"/>
          <w:numId w:val="4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680"/>
        <w:rPr>
          <w:rFonts w:ascii="Arial" w:hAnsi="Arial" w:cs="Arial"/>
          <w:color w:val="303030"/>
          <w:sz w:val="18"/>
          <w:szCs w:val="18"/>
        </w:rPr>
      </w:pPr>
      <w:r w:rsidRPr="00E74AF7">
        <w:rPr>
          <w:rFonts w:ascii="Arial" w:hAnsi="Arial" w:cs="Arial"/>
          <w:color w:val="303030"/>
          <w:sz w:val="18"/>
          <w:szCs w:val="18"/>
        </w:rPr>
        <w:t>For districts of 15K+ square miles, must be a move of 20+ miles to a tempo</w:t>
      </w:r>
      <w:r w:rsidR="00CD1023" w:rsidRPr="00E74AF7">
        <w:rPr>
          <w:rFonts w:ascii="Arial" w:hAnsi="Arial" w:cs="Arial"/>
          <w:color w:val="303030"/>
          <w:sz w:val="18"/>
          <w:szCs w:val="18"/>
        </w:rPr>
        <w:t>ra</w:t>
      </w:r>
      <w:r w:rsidRPr="00E74AF7">
        <w:rPr>
          <w:rFonts w:ascii="Arial" w:hAnsi="Arial" w:cs="Arial"/>
          <w:color w:val="303030"/>
          <w:sz w:val="18"/>
          <w:szCs w:val="18"/>
        </w:rPr>
        <w:t>ry residence</w:t>
      </w:r>
    </w:p>
    <w:p w14:paraId="3FC1A323" w14:textId="77777777" w:rsidR="00333799" w:rsidRPr="00E74AF7" w:rsidRDefault="004D5CED" w:rsidP="004D5CE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680" w:firstLine="720"/>
        <w:rPr>
          <w:rFonts w:ascii="Arial" w:hAnsi="Arial" w:cs="Arial"/>
          <w:color w:val="FF0000"/>
          <w:sz w:val="14"/>
          <w:szCs w:val="14"/>
        </w:rPr>
      </w:pPr>
      <w:r w:rsidRPr="00E74AF7">
        <w:rPr>
          <w:rFonts w:ascii="Arial" w:hAnsi="Arial" w:cs="Arial"/>
          <w:color w:val="FF0000"/>
          <w:sz w:val="14"/>
          <w:szCs w:val="14"/>
        </w:rPr>
        <w:t xml:space="preserve">(see section 1309(5) of the ESEA and Chapter II, D1-D15 of </w:t>
      </w:r>
      <w:r w:rsidRPr="00E74AF7">
        <w:rPr>
          <w:rFonts w:ascii="Arial" w:hAnsi="Arial" w:cs="Arial"/>
          <w:i/>
          <w:iCs/>
          <w:color w:val="FF0000"/>
          <w:sz w:val="14"/>
          <w:szCs w:val="14"/>
        </w:rPr>
        <w:t>MEP NRG</w:t>
      </w:r>
      <w:r w:rsidRPr="00E74AF7">
        <w:rPr>
          <w:rFonts w:ascii="Arial" w:hAnsi="Arial" w:cs="Arial"/>
          <w:color w:val="FF0000"/>
          <w:sz w:val="14"/>
          <w:szCs w:val="14"/>
        </w:rPr>
        <w:t>)</w:t>
      </w:r>
    </w:p>
    <w:p w14:paraId="029C5BC5" w14:textId="77777777" w:rsidR="00391260" w:rsidRPr="00A156D6" w:rsidRDefault="00391260" w:rsidP="004D5CE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680" w:firstLine="720"/>
        <w:rPr>
          <w:rFonts w:ascii="Arial" w:hAnsi="Arial" w:cs="Arial"/>
          <w:color w:val="FF0000"/>
          <w:sz w:val="16"/>
          <w:szCs w:val="16"/>
        </w:rPr>
      </w:pPr>
    </w:p>
    <w:p w14:paraId="4379572E" w14:textId="77777777" w:rsidR="00CD1023" w:rsidRPr="00A156D6" w:rsidRDefault="00CD1023" w:rsidP="00C93723">
      <w:pPr>
        <w:pStyle w:val="ListParagraph"/>
        <w:kinsoku w:val="0"/>
        <w:overflowPunct w:val="0"/>
        <w:autoSpaceDE w:val="0"/>
        <w:autoSpaceDN w:val="0"/>
        <w:adjustRightInd w:val="0"/>
        <w:spacing w:after="0" w:line="240" w:lineRule="auto"/>
        <w:ind w:right="-680"/>
        <w:rPr>
          <w:rFonts w:ascii="Arial" w:hAnsi="Arial" w:cs="Arial"/>
          <w:b/>
          <w:color w:val="303030"/>
          <w:sz w:val="21"/>
          <w:szCs w:val="21"/>
        </w:rPr>
      </w:pPr>
      <w:r w:rsidRPr="00A156D6">
        <w:rPr>
          <w:rFonts w:ascii="Arial" w:hAnsi="Arial" w:cs="Arial"/>
          <w:b/>
          <w:color w:val="303030"/>
          <w:sz w:val="21"/>
          <w:szCs w:val="21"/>
        </w:rPr>
        <w:t>MIGRATORY AGRICULTURAL WORKER OR MIGRATORY FISHER</w:t>
      </w:r>
    </w:p>
    <w:p w14:paraId="2112458C" w14:textId="77777777" w:rsidR="00CD1023" w:rsidRPr="00E74AF7" w:rsidRDefault="00CD1023" w:rsidP="00C93723">
      <w:pPr>
        <w:pStyle w:val="ListParagraph"/>
        <w:numPr>
          <w:ilvl w:val="0"/>
          <w:numId w:val="4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680"/>
        <w:rPr>
          <w:rFonts w:ascii="Arial" w:hAnsi="Arial" w:cs="Arial"/>
          <w:color w:val="303030"/>
          <w:sz w:val="18"/>
          <w:szCs w:val="18"/>
        </w:rPr>
      </w:pPr>
      <w:r w:rsidRPr="00E74AF7">
        <w:rPr>
          <w:rFonts w:ascii="Arial" w:hAnsi="Arial" w:cs="Arial"/>
          <w:color w:val="303030"/>
          <w:sz w:val="18"/>
          <w:szCs w:val="18"/>
        </w:rPr>
        <w:t>An individual who made a qualifying move in</w:t>
      </w:r>
      <w:r w:rsidR="00333799" w:rsidRPr="00E74AF7">
        <w:rPr>
          <w:rFonts w:ascii="Arial" w:hAnsi="Arial" w:cs="Arial"/>
          <w:color w:val="303030"/>
          <w:sz w:val="18"/>
          <w:szCs w:val="18"/>
        </w:rPr>
        <w:t xml:space="preserve"> the</w:t>
      </w:r>
      <w:r w:rsidRPr="00E74AF7">
        <w:rPr>
          <w:rFonts w:ascii="Arial" w:hAnsi="Arial" w:cs="Arial"/>
          <w:color w:val="303030"/>
          <w:sz w:val="18"/>
          <w:szCs w:val="18"/>
        </w:rPr>
        <w:t xml:space="preserve"> preceding 36 months and, after doing so, engaged in new qualifying work.</w:t>
      </w:r>
    </w:p>
    <w:p w14:paraId="5502E16D" w14:textId="77777777" w:rsidR="00CD1023" w:rsidRPr="00E74AF7" w:rsidRDefault="00CD1023" w:rsidP="00C93723">
      <w:pPr>
        <w:pStyle w:val="ListParagraph"/>
        <w:numPr>
          <w:ilvl w:val="0"/>
          <w:numId w:val="4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680"/>
        <w:rPr>
          <w:rFonts w:ascii="Arial" w:hAnsi="Arial" w:cs="Arial"/>
          <w:color w:val="303030"/>
          <w:sz w:val="18"/>
          <w:szCs w:val="18"/>
        </w:rPr>
      </w:pPr>
      <w:r w:rsidRPr="00E74AF7">
        <w:rPr>
          <w:rFonts w:ascii="Arial" w:hAnsi="Arial" w:cs="Arial"/>
          <w:color w:val="303030"/>
          <w:sz w:val="18"/>
          <w:szCs w:val="18"/>
        </w:rPr>
        <w:t xml:space="preserve">If the individual did </w:t>
      </w:r>
      <w:r w:rsidRPr="002456FA">
        <w:rPr>
          <w:rFonts w:ascii="Arial" w:hAnsi="Arial" w:cs="Arial"/>
          <w:color w:val="303030"/>
          <w:sz w:val="18"/>
          <w:szCs w:val="18"/>
          <w:u w:val="single"/>
        </w:rPr>
        <w:t xml:space="preserve">not </w:t>
      </w:r>
      <w:r w:rsidRPr="00E74AF7">
        <w:rPr>
          <w:rFonts w:ascii="Arial" w:hAnsi="Arial" w:cs="Arial"/>
          <w:color w:val="303030"/>
          <w:sz w:val="18"/>
          <w:szCs w:val="18"/>
        </w:rPr>
        <w:t>engage in new “qualifying work” soon a</w:t>
      </w:r>
      <w:r w:rsidR="00CD62D9">
        <w:rPr>
          <w:rFonts w:ascii="Arial" w:hAnsi="Arial" w:cs="Arial"/>
          <w:color w:val="303030"/>
          <w:sz w:val="18"/>
          <w:szCs w:val="18"/>
        </w:rPr>
        <w:t>fter</w:t>
      </w:r>
      <w:r w:rsidRPr="00E74AF7">
        <w:rPr>
          <w:rFonts w:ascii="Arial" w:hAnsi="Arial" w:cs="Arial"/>
          <w:color w:val="303030"/>
          <w:sz w:val="18"/>
          <w:szCs w:val="18"/>
        </w:rPr>
        <w:t xml:space="preserve"> the move, the individual:</w:t>
      </w:r>
    </w:p>
    <w:p w14:paraId="6A8EFD12" w14:textId="77777777" w:rsidR="00CD1023" w:rsidRPr="00E74AF7" w:rsidRDefault="00CD1023" w:rsidP="00C93723">
      <w:pPr>
        <w:pStyle w:val="ListParagraph"/>
        <w:numPr>
          <w:ilvl w:val="0"/>
          <w:numId w:val="4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680"/>
        <w:rPr>
          <w:rFonts w:ascii="Arial" w:hAnsi="Arial" w:cs="Arial"/>
          <w:color w:val="303030"/>
          <w:sz w:val="18"/>
          <w:szCs w:val="18"/>
        </w:rPr>
      </w:pPr>
      <w:r w:rsidRPr="00E74AF7">
        <w:rPr>
          <w:rFonts w:ascii="Arial" w:hAnsi="Arial" w:cs="Arial"/>
          <w:color w:val="303030"/>
          <w:sz w:val="18"/>
          <w:szCs w:val="18"/>
        </w:rPr>
        <w:t xml:space="preserve">Actively sought “qualifying work” </w:t>
      </w:r>
      <w:r w:rsidRPr="00512A91">
        <w:rPr>
          <w:rFonts w:ascii="Arial" w:hAnsi="Arial" w:cs="Arial"/>
          <w:color w:val="303030"/>
          <w:sz w:val="18"/>
          <w:szCs w:val="18"/>
          <w:u w:val="single"/>
        </w:rPr>
        <w:t>and</w:t>
      </w:r>
    </w:p>
    <w:p w14:paraId="0A8F79A7" w14:textId="77777777" w:rsidR="00391260" w:rsidRPr="00E74AF7" w:rsidRDefault="00CD1023" w:rsidP="00391260">
      <w:pPr>
        <w:pStyle w:val="ListParagraph"/>
        <w:numPr>
          <w:ilvl w:val="0"/>
          <w:numId w:val="4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680"/>
        <w:rPr>
          <w:rFonts w:ascii="Arial" w:hAnsi="Arial" w:cs="Arial"/>
          <w:color w:val="303030"/>
          <w:sz w:val="18"/>
          <w:szCs w:val="18"/>
        </w:rPr>
      </w:pPr>
      <w:r w:rsidRPr="00E74AF7">
        <w:rPr>
          <w:rFonts w:ascii="Arial" w:hAnsi="Arial" w:cs="Arial"/>
          <w:color w:val="303030"/>
          <w:sz w:val="18"/>
          <w:szCs w:val="18"/>
        </w:rPr>
        <w:t>Has a recent history of moves for “qualifying work”</w:t>
      </w:r>
    </w:p>
    <w:p w14:paraId="3D3AB48A" w14:textId="77777777" w:rsidR="00333799" w:rsidRPr="00E74AF7" w:rsidRDefault="00391260" w:rsidP="00391260">
      <w:pPr>
        <w:pStyle w:val="ListParagraph"/>
        <w:kinsoku w:val="0"/>
        <w:overflowPunct w:val="0"/>
        <w:autoSpaceDE w:val="0"/>
        <w:autoSpaceDN w:val="0"/>
        <w:adjustRightInd w:val="0"/>
        <w:spacing w:after="0" w:line="240" w:lineRule="auto"/>
        <w:ind w:left="0" w:right="-680"/>
        <w:rPr>
          <w:rFonts w:ascii="Arial" w:hAnsi="Arial" w:cs="Arial"/>
          <w:color w:val="FF0000"/>
          <w:sz w:val="14"/>
          <w:szCs w:val="14"/>
        </w:rPr>
      </w:pPr>
      <w:r w:rsidRPr="00A156D6">
        <w:rPr>
          <w:rFonts w:ascii="Arial" w:hAnsi="Arial" w:cs="Arial"/>
          <w:color w:val="303030"/>
          <w:sz w:val="20"/>
          <w:szCs w:val="20"/>
        </w:rPr>
        <w:t xml:space="preserve">            </w:t>
      </w:r>
      <w:r w:rsidRPr="00E74AF7">
        <w:rPr>
          <w:rFonts w:ascii="Arial" w:hAnsi="Arial" w:cs="Arial"/>
          <w:color w:val="303030"/>
          <w:sz w:val="14"/>
          <w:szCs w:val="14"/>
        </w:rPr>
        <w:t xml:space="preserve"> </w:t>
      </w:r>
      <w:r w:rsidRPr="00E74AF7">
        <w:rPr>
          <w:rFonts w:ascii="Arial" w:hAnsi="Arial" w:cs="Arial"/>
          <w:color w:val="FF0000"/>
          <w:sz w:val="14"/>
          <w:szCs w:val="14"/>
        </w:rPr>
        <w:t xml:space="preserve">(see sections 1309(2) and (4) of the ESEA and Chapter II, C1-C2 of </w:t>
      </w:r>
      <w:r w:rsidRPr="00E74AF7">
        <w:rPr>
          <w:rFonts w:ascii="Arial" w:hAnsi="Arial" w:cs="Arial"/>
          <w:i/>
          <w:iCs/>
          <w:color w:val="FF0000"/>
          <w:sz w:val="14"/>
          <w:szCs w:val="14"/>
        </w:rPr>
        <w:t>MEP NRG</w:t>
      </w:r>
      <w:r w:rsidRPr="00E74AF7">
        <w:rPr>
          <w:rFonts w:ascii="Arial" w:hAnsi="Arial" w:cs="Arial"/>
          <w:color w:val="FF0000"/>
          <w:sz w:val="14"/>
          <w:szCs w:val="14"/>
        </w:rPr>
        <w:t>)</w:t>
      </w:r>
    </w:p>
    <w:p w14:paraId="102CE6CE" w14:textId="77777777" w:rsidR="00391260" w:rsidRPr="00A156D6" w:rsidRDefault="00391260" w:rsidP="00391260">
      <w:pPr>
        <w:pStyle w:val="ListParagraph"/>
        <w:kinsoku w:val="0"/>
        <w:overflowPunct w:val="0"/>
        <w:autoSpaceDE w:val="0"/>
        <w:autoSpaceDN w:val="0"/>
        <w:adjustRightInd w:val="0"/>
        <w:spacing w:after="0" w:line="240" w:lineRule="auto"/>
        <w:ind w:left="0" w:right="-680"/>
        <w:rPr>
          <w:rFonts w:ascii="Arial" w:hAnsi="Arial" w:cs="Arial"/>
          <w:color w:val="303030"/>
          <w:sz w:val="16"/>
          <w:szCs w:val="16"/>
        </w:rPr>
      </w:pPr>
    </w:p>
    <w:p w14:paraId="259F2A0E" w14:textId="77777777" w:rsidR="00333799" w:rsidRPr="00A156D6" w:rsidRDefault="002F0455" w:rsidP="00C93723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680"/>
        <w:rPr>
          <w:rFonts w:ascii="Arial" w:hAnsi="Arial" w:cs="Arial"/>
          <w:b/>
          <w:color w:val="303030"/>
          <w:sz w:val="21"/>
          <w:szCs w:val="21"/>
        </w:rPr>
      </w:pPr>
      <w:r w:rsidRPr="00A156D6">
        <w:rPr>
          <w:rFonts w:ascii="Arial" w:hAnsi="Arial" w:cs="Arial"/>
          <w:b/>
          <w:color w:val="303030"/>
          <w:sz w:val="24"/>
          <w:szCs w:val="24"/>
        </w:rPr>
        <w:t xml:space="preserve">           </w:t>
      </w:r>
      <w:r w:rsidR="005655BB" w:rsidRPr="00A156D6">
        <w:rPr>
          <w:rFonts w:ascii="Arial" w:hAnsi="Arial" w:cs="Arial"/>
          <w:b/>
          <w:color w:val="303030"/>
          <w:sz w:val="21"/>
          <w:szCs w:val="21"/>
        </w:rPr>
        <w:t>QUALIFYING WORK</w:t>
      </w:r>
    </w:p>
    <w:p w14:paraId="661D1DEC" w14:textId="77777777" w:rsidR="00391260" w:rsidRPr="00E74AF7" w:rsidRDefault="005655BB" w:rsidP="00391260">
      <w:pPr>
        <w:pStyle w:val="ListParagraph"/>
        <w:numPr>
          <w:ilvl w:val="0"/>
          <w:numId w:val="44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680"/>
        <w:rPr>
          <w:rFonts w:ascii="Arial" w:hAnsi="Arial" w:cs="Arial"/>
          <w:color w:val="303030"/>
          <w:sz w:val="18"/>
          <w:szCs w:val="18"/>
        </w:rPr>
      </w:pPr>
      <w:r w:rsidRPr="00E74AF7">
        <w:rPr>
          <w:rFonts w:ascii="Arial" w:hAnsi="Arial" w:cs="Arial"/>
          <w:color w:val="303030"/>
          <w:sz w:val="18"/>
          <w:szCs w:val="18"/>
        </w:rPr>
        <w:t>“Qualifying work” means temporary or seasonal employment (or personal subsistence) in agriculture or fishing</w:t>
      </w:r>
      <w:r w:rsidR="00FE2B30" w:rsidRPr="00E74AF7">
        <w:rPr>
          <w:rFonts w:ascii="Arial" w:hAnsi="Arial" w:cs="Arial"/>
          <w:color w:val="303030"/>
          <w:sz w:val="18"/>
          <w:szCs w:val="18"/>
        </w:rPr>
        <w:t>.</w:t>
      </w:r>
    </w:p>
    <w:p w14:paraId="0611C17A" w14:textId="77777777" w:rsidR="00391260" w:rsidRPr="00E74AF7" w:rsidRDefault="00391260" w:rsidP="0039126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680"/>
        <w:rPr>
          <w:rFonts w:ascii="Arial" w:hAnsi="Arial" w:cs="Arial"/>
          <w:color w:val="FF0000"/>
          <w:sz w:val="14"/>
          <w:szCs w:val="14"/>
        </w:rPr>
      </w:pPr>
      <w:r w:rsidRPr="00A156D6">
        <w:rPr>
          <w:rFonts w:ascii="Arial" w:hAnsi="Arial" w:cs="Arial"/>
          <w:color w:val="2D2D2D"/>
          <w:sz w:val="16"/>
          <w:szCs w:val="16"/>
        </w:rPr>
        <w:t xml:space="preserve">                  </w:t>
      </w:r>
      <w:r w:rsidRPr="00E74AF7">
        <w:rPr>
          <w:rFonts w:ascii="Arial" w:hAnsi="Arial" w:cs="Arial"/>
          <w:color w:val="2D2D2D"/>
          <w:sz w:val="14"/>
          <w:szCs w:val="14"/>
        </w:rPr>
        <w:t xml:space="preserve"> </w:t>
      </w:r>
      <w:r w:rsidRPr="00E74AF7">
        <w:rPr>
          <w:rFonts w:ascii="Arial" w:hAnsi="Arial" w:cs="Arial"/>
          <w:color w:val="FF0000"/>
          <w:sz w:val="14"/>
          <w:szCs w:val="14"/>
        </w:rPr>
        <w:t xml:space="preserve">(see 34 CFR 200.81(n), and Chapter II, C3 of </w:t>
      </w:r>
      <w:r w:rsidRPr="00E74AF7">
        <w:rPr>
          <w:rFonts w:ascii="Arial" w:hAnsi="Arial" w:cs="Arial"/>
          <w:i/>
          <w:iCs/>
          <w:color w:val="FF0000"/>
          <w:sz w:val="14"/>
          <w:szCs w:val="14"/>
        </w:rPr>
        <w:t>MEP NRG</w:t>
      </w:r>
      <w:r w:rsidRPr="00E74AF7">
        <w:rPr>
          <w:rFonts w:ascii="Arial" w:hAnsi="Arial" w:cs="Arial"/>
          <w:color w:val="FF0000"/>
          <w:sz w:val="14"/>
          <w:szCs w:val="14"/>
        </w:rPr>
        <w:t>)</w:t>
      </w:r>
    </w:p>
    <w:p w14:paraId="72381785" w14:textId="77777777" w:rsidR="00391260" w:rsidRPr="00E74AF7" w:rsidRDefault="00FE2B30" w:rsidP="00391260">
      <w:pPr>
        <w:pStyle w:val="ListParagraph"/>
        <w:numPr>
          <w:ilvl w:val="0"/>
          <w:numId w:val="44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680"/>
        <w:rPr>
          <w:rFonts w:ascii="Arial" w:hAnsi="Arial" w:cs="Arial"/>
          <w:color w:val="303030"/>
          <w:sz w:val="18"/>
          <w:szCs w:val="18"/>
        </w:rPr>
      </w:pPr>
      <w:r w:rsidRPr="00E74AF7">
        <w:rPr>
          <w:rFonts w:ascii="Arial" w:hAnsi="Arial" w:cs="Arial"/>
          <w:color w:val="303030"/>
          <w:sz w:val="18"/>
          <w:szCs w:val="18"/>
        </w:rPr>
        <w:t>“Temporary employment,</w:t>
      </w:r>
      <w:r w:rsidR="00512A91">
        <w:rPr>
          <w:rFonts w:ascii="Arial" w:hAnsi="Arial" w:cs="Arial"/>
          <w:color w:val="303030"/>
          <w:sz w:val="18"/>
          <w:szCs w:val="18"/>
        </w:rPr>
        <w:t>”</w:t>
      </w:r>
      <w:r w:rsidRPr="00E74AF7">
        <w:rPr>
          <w:rFonts w:ascii="Arial" w:hAnsi="Arial" w:cs="Arial"/>
          <w:color w:val="303030"/>
          <w:sz w:val="18"/>
          <w:szCs w:val="18"/>
        </w:rPr>
        <w:t xml:space="preserve"> “seasonal employment,” “personal subsistence,” “agricultural work,” and “fishing work” are also defined in the program regulations.</w:t>
      </w:r>
    </w:p>
    <w:p w14:paraId="6CEB3DFA" w14:textId="77777777" w:rsidR="00391260" w:rsidRPr="00E74AF7" w:rsidRDefault="00391260" w:rsidP="0039126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680"/>
        <w:rPr>
          <w:rFonts w:ascii="Arial" w:hAnsi="Arial" w:cs="Arial"/>
          <w:color w:val="FF0000"/>
          <w:sz w:val="14"/>
          <w:szCs w:val="14"/>
        </w:rPr>
      </w:pPr>
      <w:r w:rsidRPr="00E74AF7">
        <w:rPr>
          <w:rFonts w:ascii="Arial" w:hAnsi="Arial" w:cs="Arial"/>
          <w:color w:val="FF0000"/>
          <w:sz w:val="14"/>
          <w:szCs w:val="14"/>
        </w:rPr>
        <w:t xml:space="preserve">                    (see 34 CFR 200.81(a), (c), (m), (o), and (p), and Chapter II, Sections F and G of </w:t>
      </w:r>
      <w:r w:rsidRPr="00E74AF7">
        <w:rPr>
          <w:rFonts w:ascii="Arial" w:hAnsi="Arial" w:cs="Arial"/>
          <w:i/>
          <w:iCs/>
          <w:color w:val="FF0000"/>
          <w:sz w:val="14"/>
          <w:szCs w:val="14"/>
        </w:rPr>
        <w:t>MEP NRG</w:t>
      </w:r>
      <w:r w:rsidRPr="00E74AF7">
        <w:rPr>
          <w:rFonts w:ascii="Arial" w:hAnsi="Arial" w:cs="Arial"/>
          <w:color w:val="FF0000"/>
          <w:sz w:val="14"/>
          <w:szCs w:val="14"/>
        </w:rPr>
        <w:t>)</w:t>
      </w:r>
    </w:p>
    <w:p w14:paraId="17B598FB" w14:textId="77777777" w:rsidR="00333799" w:rsidRPr="00A156D6" w:rsidRDefault="00333799" w:rsidP="00C93723">
      <w:pPr>
        <w:pStyle w:val="ListParagraph"/>
        <w:kinsoku w:val="0"/>
        <w:overflowPunct w:val="0"/>
        <w:autoSpaceDE w:val="0"/>
        <w:autoSpaceDN w:val="0"/>
        <w:adjustRightInd w:val="0"/>
        <w:spacing w:after="0" w:line="240" w:lineRule="auto"/>
        <w:ind w:right="-680"/>
        <w:rPr>
          <w:rFonts w:ascii="Arial" w:hAnsi="Arial" w:cs="Arial"/>
          <w:color w:val="303030"/>
        </w:rPr>
      </w:pPr>
    </w:p>
    <w:p w14:paraId="2CBAA416" w14:textId="77777777" w:rsidR="00E07A79" w:rsidRPr="00A156D6" w:rsidRDefault="00E07A79" w:rsidP="00C93723">
      <w:pPr>
        <w:pStyle w:val="ListParagraph"/>
        <w:kinsoku w:val="0"/>
        <w:overflowPunct w:val="0"/>
        <w:autoSpaceDE w:val="0"/>
        <w:autoSpaceDN w:val="0"/>
        <w:adjustRightInd w:val="0"/>
        <w:spacing w:after="0" w:line="240" w:lineRule="auto"/>
        <w:ind w:right="-680"/>
        <w:rPr>
          <w:rFonts w:ascii="Arial" w:hAnsi="Arial" w:cs="Arial"/>
          <w:b/>
          <w:color w:val="303030"/>
          <w:sz w:val="21"/>
          <w:szCs w:val="21"/>
        </w:rPr>
      </w:pPr>
      <w:r w:rsidRPr="00A156D6">
        <w:rPr>
          <w:rFonts w:ascii="Arial" w:hAnsi="Arial" w:cs="Arial"/>
          <w:b/>
          <w:color w:val="303030"/>
          <w:sz w:val="21"/>
          <w:szCs w:val="21"/>
        </w:rPr>
        <w:t xml:space="preserve">QUALIFYING ARRIVAL </w:t>
      </w:r>
      <w:r w:rsidR="00391260" w:rsidRPr="00A156D6">
        <w:rPr>
          <w:rFonts w:ascii="Arial" w:hAnsi="Arial" w:cs="Arial"/>
          <w:b/>
          <w:color w:val="303030"/>
          <w:sz w:val="21"/>
          <w:szCs w:val="21"/>
        </w:rPr>
        <w:t>DATE (</w:t>
      </w:r>
      <w:r w:rsidRPr="00A156D6">
        <w:rPr>
          <w:rFonts w:ascii="Arial" w:hAnsi="Arial" w:cs="Arial"/>
          <w:b/>
          <w:color w:val="303030"/>
          <w:sz w:val="21"/>
          <w:szCs w:val="21"/>
        </w:rPr>
        <w:t>QAD)</w:t>
      </w:r>
    </w:p>
    <w:p w14:paraId="0F359DBD" w14:textId="77777777" w:rsidR="00E07A79" w:rsidRPr="00E74AF7" w:rsidRDefault="00E07A79" w:rsidP="00C93723">
      <w:pPr>
        <w:pStyle w:val="ListParagraph"/>
        <w:numPr>
          <w:ilvl w:val="0"/>
          <w:numId w:val="45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680"/>
        <w:rPr>
          <w:rFonts w:ascii="Arial" w:hAnsi="Arial" w:cs="Arial"/>
          <w:color w:val="303030"/>
          <w:sz w:val="18"/>
          <w:szCs w:val="18"/>
        </w:rPr>
      </w:pPr>
      <w:r w:rsidRPr="00E74AF7">
        <w:rPr>
          <w:rFonts w:ascii="Arial" w:hAnsi="Arial" w:cs="Arial"/>
          <w:color w:val="303030"/>
          <w:sz w:val="18"/>
          <w:szCs w:val="18"/>
        </w:rPr>
        <w:t>The QAD is the date that the child</w:t>
      </w:r>
      <w:r w:rsidR="002F0455" w:rsidRPr="00E74AF7">
        <w:rPr>
          <w:rFonts w:ascii="Arial" w:hAnsi="Arial" w:cs="Arial"/>
          <w:color w:val="303030"/>
          <w:sz w:val="18"/>
          <w:szCs w:val="18"/>
        </w:rPr>
        <w:t>’</w:t>
      </w:r>
      <w:r w:rsidRPr="00E74AF7">
        <w:rPr>
          <w:rFonts w:ascii="Arial" w:hAnsi="Arial" w:cs="Arial"/>
          <w:color w:val="303030"/>
          <w:sz w:val="18"/>
          <w:szCs w:val="18"/>
        </w:rPr>
        <w:t>s eligibility for the MEP begins.</w:t>
      </w:r>
    </w:p>
    <w:p w14:paraId="16F1028D" w14:textId="77777777" w:rsidR="00E07A79" w:rsidRPr="00E74AF7" w:rsidRDefault="00E07A79" w:rsidP="00C93723">
      <w:pPr>
        <w:pStyle w:val="ListParagraph"/>
        <w:numPr>
          <w:ilvl w:val="0"/>
          <w:numId w:val="45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680"/>
        <w:rPr>
          <w:rFonts w:ascii="Arial" w:hAnsi="Arial" w:cs="Arial"/>
          <w:color w:val="303030"/>
          <w:sz w:val="18"/>
          <w:szCs w:val="18"/>
        </w:rPr>
      </w:pPr>
      <w:r w:rsidRPr="00E74AF7">
        <w:rPr>
          <w:rFonts w:ascii="Arial" w:hAnsi="Arial" w:cs="Arial"/>
          <w:color w:val="303030"/>
          <w:sz w:val="18"/>
          <w:szCs w:val="18"/>
        </w:rPr>
        <w:t xml:space="preserve">Children are eligible for the MEP for 36 months from the QAD, unless their eligibility ends for </w:t>
      </w:r>
      <w:r w:rsidR="00D82AC6" w:rsidRPr="00E74AF7">
        <w:rPr>
          <w:rFonts w:ascii="Arial" w:hAnsi="Arial" w:cs="Arial"/>
          <w:color w:val="303030"/>
          <w:sz w:val="18"/>
          <w:szCs w:val="18"/>
        </w:rPr>
        <w:t xml:space="preserve">                             </w:t>
      </w:r>
      <w:r w:rsidRPr="00E74AF7">
        <w:rPr>
          <w:rFonts w:ascii="Arial" w:hAnsi="Arial" w:cs="Arial"/>
          <w:color w:val="303030"/>
          <w:sz w:val="18"/>
          <w:szCs w:val="18"/>
        </w:rPr>
        <w:t>another reason (e.g., over age 21, earns a high school diploma)</w:t>
      </w:r>
    </w:p>
    <w:p w14:paraId="36FB991D" w14:textId="77777777" w:rsidR="00E07A79" w:rsidRPr="00E74AF7" w:rsidRDefault="005C2E5D" w:rsidP="00C93723">
      <w:pPr>
        <w:pStyle w:val="ListParagraph"/>
        <w:numPr>
          <w:ilvl w:val="0"/>
          <w:numId w:val="45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680"/>
        <w:rPr>
          <w:rFonts w:ascii="Arial" w:hAnsi="Arial" w:cs="Arial"/>
          <w:color w:val="303030"/>
          <w:sz w:val="18"/>
          <w:szCs w:val="18"/>
        </w:rPr>
      </w:pPr>
      <w:r w:rsidRPr="00E74AF7">
        <w:rPr>
          <w:rFonts w:ascii="Arial" w:hAnsi="Arial" w:cs="Arial"/>
          <w:color w:val="303030"/>
          <w:sz w:val="18"/>
          <w:szCs w:val="18"/>
        </w:rPr>
        <w:t>When the child and worker do not move together (i.e.</w:t>
      </w:r>
      <w:r w:rsidR="0036181B" w:rsidRPr="00E74AF7">
        <w:rPr>
          <w:rFonts w:ascii="Arial" w:hAnsi="Arial" w:cs="Arial"/>
          <w:color w:val="303030"/>
          <w:sz w:val="18"/>
          <w:szCs w:val="18"/>
        </w:rPr>
        <w:t>, a “to join” move), the QAD is the date that both the child and worker completed the move.</w:t>
      </w:r>
    </w:p>
    <w:p w14:paraId="6D2DC8B8" w14:textId="77777777" w:rsidR="0036181B" w:rsidRPr="00E74AF7" w:rsidRDefault="0036181B" w:rsidP="00C93723">
      <w:pPr>
        <w:pStyle w:val="ListParagraph"/>
        <w:numPr>
          <w:ilvl w:val="0"/>
          <w:numId w:val="45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680"/>
        <w:rPr>
          <w:rFonts w:ascii="Arial" w:hAnsi="Arial" w:cs="Arial"/>
          <w:color w:val="303030"/>
          <w:sz w:val="18"/>
          <w:szCs w:val="18"/>
        </w:rPr>
      </w:pPr>
      <w:r w:rsidRPr="00E74AF7">
        <w:rPr>
          <w:rFonts w:ascii="Arial" w:hAnsi="Arial" w:cs="Arial"/>
          <w:color w:val="303030"/>
          <w:sz w:val="18"/>
          <w:szCs w:val="18"/>
        </w:rPr>
        <w:t xml:space="preserve">The QAD is not affected by subsequent </w:t>
      </w:r>
      <w:r w:rsidRPr="00E74AF7">
        <w:rPr>
          <w:rFonts w:ascii="Arial" w:hAnsi="Arial" w:cs="Arial"/>
          <w:i/>
          <w:color w:val="303030"/>
          <w:sz w:val="18"/>
          <w:szCs w:val="18"/>
        </w:rPr>
        <w:t>non-qualifying</w:t>
      </w:r>
      <w:r w:rsidRPr="00E74AF7">
        <w:rPr>
          <w:rFonts w:ascii="Arial" w:hAnsi="Arial" w:cs="Arial"/>
          <w:color w:val="303030"/>
          <w:sz w:val="18"/>
          <w:szCs w:val="18"/>
        </w:rPr>
        <w:t xml:space="preserve"> moves.</w:t>
      </w:r>
    </w:p>
    <w:p w14:paraId="107A3D39" w14:textId="77777777" w:rsidR="006E73CC" w:rsidRPr="00A156D6" w:rsidRDefault="006E73CC" w:rsidP="00C93723">
      <w:pPr>
        <w:pStyle w:val="ListParagraph"/>
        <w:kinsoku w:val="0"/>
        <w:overflowPunct w:val="0"/>
        <w:autoSpaceDE w:val="0"/>
        <w:autoSpaceDN w:val="0"/>
        <w:adjustRightInd w:val="0"/>
        <w:spacing w:after="0" w:line="240" w:lineRule="auto"/>
        <w:ind w:right="-680"/>
        <w:jc w:val="center"/>
        <w:rPr>
          <w:rFonts w:ascii="Arial" w:hAnsi="Arial" w:cs="Arial"/>
          <w:b/>
          <w:color w:val="303030"/>
          <w:sz w:val="24"/>
          <w:szCs w:val="24"/>
        </w:rPr>
      </w:pPr>
    </w:p>
    <w:p w14:paraId="3C8B6948" w14:textId="77777777" w:rsidR="00D82AC6" w:rsidRPr="00A156D6" w:rsidRDefault="008F4A6E" w:rsidP="00C93723">
      <w:pPr>
        <w:pStyle w:val="ListParagraph"/>
        <w:kinsoku w:val="0"/>
        <w:overflowPunct w:val="0"/>
        <w:autoSpaceDE w:val="0"/>
        <w:autoSpaceDN w:val="0"/>
        <w:adjustRightInd w:val="0"/>
        <w:spacing w:after="0" w:line="240" w:lineRule="auto"/>
        <w:ind w:right="-680"/>
        <w:rPr>
          <w:rFonts w:ascii="Arial" w:hAnsi="Arial" w:cs="Arial"/>
          <w:b/>
          <w:color w:val="303030"/>
          <w:sz w:val="21"/>
          <w:szCs w:val="21"/>
        </w:rPr>
      </w:pPr>
      <w:r w:rsidRPr="00A156D6">
        <w:rPr>
          <w:rFonts w:ascii="Arial" w:hAnsi="Arial" w:cs="Arial"/>
          <w:b/>
          <w:color w:val="303030"/>
          <w:sz w:val="21"/>
          <w:szCs w:val="21"/>
        </w:rPr>
        <w:t>CHILD’S MOVE WITH OR TO JOIN PARENT/GUARDIAN OR SPOUSE</w:t>
      </w:r>
    </w:p>
    <w:p w14:paraId="4B52C420" w14:textId="77777777" w:rsidR="008F4A6E" w:rsidRPr="00E74AF7" w:rsidRDefault="008F4A6E" w:rsidP="00C93723">
      <w:pPr>
        <w:pStyle w:val="ListParagraph"/>
        <w:numPr>
          <w:ilvl w:val="0"/>
          <w:numId w:val="46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680"/>
        <w:rPr>
          <w:rFonts w:ascii="Arial" w:hAnsi="Arial" w:cs="Arial"/>
          <w:color w:val="303030"/>
          <w:sz w:val="18"/>
          <w:szCs w:val="18"/>
        </w:rPr>
      </w:pPr>
      <w:r w:rsidRPr="00E74AF7">
        <w:rPr>
          <w:rFonts w:ascii="Arial" w:hAnsi="Arial" w:cs="Arial"/>
          <w:color w:val="303030"/>
          <w:sz w:val="18"/>
          <w:szCs w:val="18"/>
        </w:rPr>
        <w:t>The child’s move with his or her parent/guardian or spouse may have been the same move (i.e., to the same location) that established the parent /guardian or spouse as a “migratory agricultural worker” or “migratory fisher.”</w:t>
      </w:r>
    </w:p>
    <w:p w14:paraId="413AD8B7" w14:textId="77777777" w:rsidR="008F4A6E" w:rsidRPr="00E74AF7" w:rsidRDefault="008F4A6E" w:rsidP="00B93505">
      <w:pPr>
        <w:pStyle w:val="ListParagraph"/>
        <w:numPr>
          <w:ilvl w:val="0"/>
          <w:numId w:val="46"/>
        </w:numPr>
        <w:tabs>
          <w:tab w:val="left" w:pos="10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860"/>
        <w:rPr>
          <w:rFonts w:ascii="Arial" w:hAnsi="Arial" w:cs="Arial"/>
          <w:color w:val="303030"/>
          <w:sz w:val="18"/>
          <w:szCs w:val="18"/>
        </w:rPr>
      </w:pPr>
      <w:r w:rsidRPr="00E74AF7">
        <w:rPr>
          <w:rFonts w:ascii="Arial" w:hAnsi="Arial" w:cs="Arial"/>
          <w:color w:val="303030"/>
          <w:sz w:val="18"/>
          <w:szCs w:val="18"/>
        </w:rPr>
        <w:t>However, th</w:t>
      </w:r>
      <w:r w:rsidR="00DB0809">
        <w:rPr>
          <w:rFonts w:ascii="Arial" w:hAnsi="Arial" w:cs="Arial"/>
          <w:color w:val="303030"/>
          <w:sz w:val="18"/>
          <w:szCs w:val="18"/>
        </w:rPr>
        <w:t>is</w:t>
      </w:r>
      <w:r w:rsidRPr="00E74AF7">
        <w:rPr>
          <w:rFonts w:ascii="Arial" w:hAnsi="Arial" w:cs="Arial"/>
          <w:color w:val="303030"/>
          <w:sz w:val="18"/>
          <w:szCs w:val="18"/>
        </w:rPr>
        <w:t xml:space="preserve"> is not necessary-as long as the child made a qualifying move with a parent</w:t>
      </w:r>
      <w:r w:rsidR="006C0C5E">
        <w:rPr>
          <w:rFonts w:ascii="Arial" w:hAnsi="Arial" w:cs="Arial"/>
          <w:color w:val="303030"/>
          <w:sz w:val="18"/>
          <w:szCs w:val="18"/>
        </w:rPr>
        <w:t>/</w:t>
      </w:r>
      <w:r w:rsidRPr="00E74AF7">
        <w:rPr>
          <w:rFonts w:ascii="Arial" w:hAnsi="Arial" w:cs="Arial"/>
          <w:color w:val="303030"/>
          <w:sz w:val="18"/>
          <w:szCs w:val="18"/>
        </w:rPr>
        <w:t>guardian or spouse who meets the definition of a “migratory agricultural worker” or “migratory fisher</w:t>
      </w:r>
      <w:r w:rsidR="00512A91">
        <w:rPr>
          <w:rFonts w:ascii="Arial" w:hAnsi="Arial" w:cs="Arial"/>
          <w:color w:val="303030"/>
          <w:sz w:val="18"/>
          <w:szCs w:val="18"/>
        </w:rPr>
        <w:t>.</w:t>
      </w:r>
      <w:r w:rsidRPr="00E74AF7">
        <w:rPr>
          <w:rFonts w:ascii="Arial" w:hAnsi="Arial" w:cs="Arial"/>
          <w:color w:val="303030"/>
          <w:sz w:val="18"/>
          <w:szCs w:val="18"/>
        </w:rPr>
        <w:t>”</w:t>
      </w:r>
    </w:p>
    <w:p w14:paraId="0998BD33" w14:textId="77777777" w:rsidR="00A37E23" w:rsidRPr="00390D46" w:rsidRDefault="002F0455" w:rsidP="00390D46">
      <w:pPr>
        <w:pStyle w:val="ListParagraph"/>
        <w:numPr>
          <w:ilvl w:val="0"/>
          <w:numId w:val="46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860"/>
        <w:rPr>
          <w:rFonts w:ascii="Arial" w:hAnsi="Arial" w:cs="Arial"/>
          <w:color w:val="303030"/>
          <w:sz w:val="18"/>
          <w:szCs w:val="18"/>
        </w:rPr>
      </w:pPr>
      <w:r w:rsidRPr="00E74AF7">
        <w:rPr>
          <w:rFonts w:ascii="Arial" w:hAnsi="Arial" w:cs="Arial"/>
          <w:color w:val="303030"/>
          <w:sz w:val="18"/>
          <w:szCs w:val="18"/>
        </w:rPr>
        <w:t>I</w:t>
      </w:r>
      <w:r w:rsidR="008F4A6E" w:rsidRPr="00E74AF7">
        <w:rPr>
          <w:rFonts w:ascii="Arial" w:hAnsi="Arial" w:cs="Arial"/>
          <w:color w:val="303030"/>
          <w:sz w:val="18"/>
          <w:szCs w:val="18"/>
        </w:rPr>
        <w:t>n other wor</w:t>
      </w:r>
      <w:r w:rsidR="00391260" w:rsidRPr="00E74AF7">
        <w:rPr>
          <w:rFonts w:ascii="Arial" w:hAnsi="Arial" w:cs="Arial"/>
          <w:color w:val="303030"/>
          <w:sz w:val="18"/>
          <w:szCs w:val="18"/>
        </w:rPr>
        <w:t>d</w:t>
      </w:r>
      <w:r w:rsidR="008F4A6E" w:rsidRPr="00E74AF7">
        <w:rPr>
          <w:rFonts w:ascii="Arial" w:hAnsi="Arial" w:cs="Arial"/>
          <w:color w:val="303030"/>
          <w:sz w:val="18"/>
          <w:szCs w:val="18"/>
        </w:rPr>
        <w:t>s</w:t>
      </w:r>
      <w:r w:rsidR="00C91F64">
        <w:rPr>
          <w:rFonts w:ascii="Arial" w:hAnsi="Arial" w:cs="Arial"/>
          <w:color w:val="303030"/>
          <w:sz w:val="18"/>
          <w:szCs w:val="18"/>
        </w:rPr>
        <w:t>,</w:t>
      </w:r>
      <w:r w:rsidR="008F4A6E" w:rsidRPr="00E74AF7">
        <w:rPr>
          <w:rFonts w:ascii="Arial" w:hAnsi="Arial" w:cs="Arial"/>
          <w:color w:val="303030"/>
          <w:sz w:val="18"/>
          <w:szCs w:val="18"/>
        </w:rPr>
        <w:t xml:space="preserve"> the parent/guardian or spouse is an individual who, in the preceding 36 months, ma</w:t>
      </w:r>
      <w:r w:rsidR="00C1536E">
        <w:rPr>
          <w:rFonts w:ascii="Arial" w:hAnsi="Arial" w:cs="Arial"/>
          <w:color w:val="303030"/>
          <w:sz w:val="18"/>
          <w:szCs w:val="18"/>
        </w:rPr>
        <w:t>d</w:t>
      </w:r>
      <w:r w:rsidR="008F4A6E" w:rsidRPr="00E74AF7">
        <w:rPr>
          <w:rFonts w:ascii="Arial" w:hAnsi="Arial" w:cs="Arial"/>
          <w:color w:val="303030"/>
          <w:sz w:val="18"/>
          <w:szCs w:val="18"/>
        </w:rPr>
        <w:t xml:space="preserve">e a </w:t>
      </w:r>
      <w:r w:rsidR="00035A21" w:rsidRPr="00E74AF7">
        <w:rPr>
          <w:rFonts w:ascii="Arial" w:hAnsi="Arial" w:cs="Arial"/>
          <w:color w:val="303030"/>
          <w:sz w:val="18"/>
          <w:szCs w:val="18"/>
        </w:rPr>
        <w:t xml:space="preserve">      </w:t>
      </w:r>
      <w:r w:rsidR="008F4A6E" w:rsidRPr="00E74AF7">
        <w:rPr>
          <w:rFonts w:ascii="Arial" w:hAnsi="Arial" w:cs="Arial"/>
          <w:color w:val="303030"/>
          <w:sz w:val="18"/>
          <w:szCs w:val="18"/>
        </w:rPr>
        <w:t>qualifying move and soon after, engage in new qualifying work (or actively sought new qualifying work and has a recent history of moves of qualifying work).</w:t>
      </w:r>
    </w:p>
    <w:p w14:paraId="439F0367" w14:textId="77777777" w:rsidR="00A37E23" w:rsidRPr="000C1E83" w:rsidRDefault="00261264" w:rsidP="00390D46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5250E6" wp14:editId="5EF65029">
            <wp:simplePos x="0" y="0"/>
            <wp:positionH relativeFrom="column">
              <wp:posOffset>-647700</wp:posOffset>
            </wp:positionH>
            <wp:positionV relativeFrom="paragraph">
              <wp:posOffset>1142365</wp:posOffset>
            </wp:positionV>
            <wp:extent cx="8356600" cy="6082665"/>
            <wp:effectExtent l="0" t="6033" r="318" b="317"/>
            <wp:wrapTight wrapText="bothSides">
              <wp:wrapPolygon edited="0">
                <wp:start x="21616" y="21"/>
                <wp:lineTo x="48" y="21"/>
                <wp:lineTo x="48" y="21533"/>
                <wp:lineTo x="21616" y="21533"/>
                <wp:lineTo x="21616" y="2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56600" cy="608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37E23" w:rsidRPr="000C1E83" w:rsidSect="000C1E83">
      <w:pgSz w:w="10800" w:h="14400"/>
      <w:pgMar w:top="900" w:right="1400" w:bottom="900" w:left="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A20B50D"/>
    <w:multiLevelType w:val="hybridMultilevel"/>
    <w:tmpl w:val="F6545D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385" w:hanging="272"/>
      </w:pPr>
      <w:rPr>
        <w:rFonts w:ascii="Arial" w:hAnsi="Arial" w:cs="Arial"/>
        <w:b w:val="0"/>
        <w:bCs w:val="0"/>
        <w:color w:val="303030"/>
        <w:w w:val="99"/>
        <w:sz w:val="48"/>
        <w:szCs w:val="48"/>
      </w:rPr>
    </w:lvl>
    <w:lvl w:ilvl="1">
      <w:numFmt w:val="bullet"/>
      <w:lvlText w:val="•"/>
      <w:lvlJc w:val="left"/>
      <w:pPr>
        <w:ind w:left="1566" w:hanging="272"/>
      </w:pPr>
    </w:lvl>
    <w:lvl w:ilvl="2">
      <w:numFmt w:val="bullet"/>
      <w:lvlText w:val="•"/>
      <w:lvlJc w:val="left"/>
      <w:pPr>
        <w:ind w:left="2752" w:hanging="272"/>
      </w:pPr>
    </w:lvl>
    <w:lvl w:ilvl="3">
      <w:numFmt w:val="bullet"/>
      <w:lvlText w:val="•"/>
      <w:lvlJc w:val="left"/>
      <w:pPr>
        <w:ind w:left="3938" w:hanging="272"/>
      </w:pPr>
    </w:lvl>
    <w:lvl w:ilvl="4">
      <w:numFmt w:val="bullet"/>
      <w:lvlText w:val="•"/>
      <w:lvlJc w:val="left"/>
      <w:pPr>
        <w:ind w:left="5124" w:hanging="272"/>
      </w:pPr>
    </w:lvl>
    <w:lvl w:ilvl="5">
      <w:numFmt w:val="bullet"/>
      <w:lvlText w:val="•"/>
      <w:lvlJc w:val="left"/>
      <w:pPr>
        <w:ind w:left="6310" w:hanging="272"/>
      </w:pPr>
    </w:lvl>
    <w:lvl w:ilvl="6">
      <w:numFmt w:val="bullet"/>
      <w:lvlText w:val="•"/>
      <w:lvlJc w:val="left"/>
      <w:pPr>
        <w:ind w:left="7496" w:hanging="272"/>
      </w:pPr>
    </w:lvl>
    <w:lvl w:ilvl="7">
      <w:numFmt w:val="bullet"/>
      <w:lvlText w:val="•"/>
      <w:lvlJc w:val="left"/>
      <w:pPr>
        <w:ind w:left="8682" w:hanging="272"/>
      </w:pPr>
    </w:lvl>
    <w:lvl w:ilvl="8">
      <w:numFmt w:val="bullet"/>
      <w:lvlText w:val="•"/>
      <w:lvlJc w:val="left"/>
      <w:pPr>
        <w:ind w:left="9868" w:hanging="272"/>
      </w:pPr>
    </w:lvl>
  </w:abstractNum>
  <w:abstractNum w:abstractNumId="2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385" w:hanging="272"/>
      </w:pPr>
      <w:rPr>
        <w:rFonts w:ascii="Arial" w:hAnsi="Arial" w:cs="Arial"/>
        <w:b w:val="0"/>
        <w:bCs w:val="0"/>
        <w:color w:val="303030"/>
        <w:w w:val="99"/>
        <w:sz w:val="48"/>
        <w:szCs w:val="48"/>
      </w:rPr>
    </w:lvl>
    <w:lvl w:ilvl="1">
      <w:numFmt w:val="bullet"/>
      <w:lvlText w:val="•"/>
      <w:lvlJc w:val="left"/>
      <w:pPr>
        <w:ind w:left="1566" w:hanging="272"/>
      </w:pPr>
    </w:lvl>
    <w:lvl w:ilvl="2">
      <w:numFmt w:val="bullet"/>
      <w:lvlText w:val="•"/>
      <w:lvlJc w:val="left"/>
      <w:pPr>
        <w:ind w:left="2752" w:hanging="272"/>
      </w:pPr>
    </w:lvl>
    <w:lvl w:ilvl="3">
      <w:numFmt w:val="bullet"/>
      <w:lvlText w:val="•"/>
      <w:lvlJc w:val="left"/>
      <w:pPr>
        <w:ind w:left="3938" w:hanging="272"/>
      </w:pPr>
    </w:lvl>
    <w:lvl w:ilvl="4">
      <w:numFmt w:val="bullet"/>
      <w:lvlText w:val="•"/>
      <w:lvlJc w:val="left"/>
      <w:pPr>
        <w:ind w:left="5124" w:hanging="272"/>
      </w:pPr>
    </w:lvl>
    <w:lvl w:ilvl="5">
      <w:numFmt w:val="bullet"/>
      <w:lvlText w:val="•"/>
      <w:lvlJc w:val="left"/>
      <w:pPr>
        <w:ind w:left="6310" w:hanging="272"/>
      </w:pPr>
    </w:lvl>
    <w:lvl w:ilvl="6">
      <w:numFmt w:val="bullet"/>
      <w:lvlText w:val="•"/>
      <w:lvlJc w:val="left"/>
      <w:pPr>
        <w:ind w:left="7496" w:hanging="272"/>
      </w:pPr>
    </w:lvl>
    <w:lvl w:ilvl="7">
      <w:numFmt w:val="bullet"/>
      <w:lvlText w:val="•"/>
      <w:lvlJc w:val="left"/>
      <w:pPr>
        <w:ind w:left="8682" w:hanging="272"/>
      </w:pPr>
    </w:lvl>
    <w:lvl w:ilvl="8">
      <w:numFmt w:val="bullet"/>
      <w:lvlText w:val="•"/>
      <w:lvlJc w:val="left"/>
      <w:pPr>
        <w:ind w:left="9868" w:hanging="272"/>
      </w:pPr>
    </w:lvl>
  </w:abstractNum>
  <w:abstractNum w:abstractNumId="3" w15:restartNumberingAfterBreak="0">
    <w:nsid w:val="026A4A41"/>
    <w:multiLevelType w:val="hybridMultilevel"/>
    <w:tmpl w:val="E7D0B04E"/>
    <w:lvl w:ilvl="0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07B261DC"/>
    <w:multiLevelType w:val="hybridMultilevel"/>
    <w:tmpl w:val="783C33EC"/>
    <w:lvl w:ilvl="0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08E31AFD"/>
    <w:multiLevelType w:val="hybridMultilevel"/>
    <w:tmpl w:val="2C1E0AE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0925717F"/>
    <w:multiLevelType w:val="hybridMultilevel"/>
    <w:tmpl w:val="134ED7F0"/>
    <w:lvl w:ilvl="0" w:tplc="CE645FF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CAB2706"/>
    <w:multiLevelType w:val="hybridMultilevel"/>
    <w:tmpl w:val="3CE8F96A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8" w15:restartNumberingAfterBreak="0">
    <w:nsid w:val="0DB20E3E"/>
    <w:multiLevelType w:val="hybridMultilevel"/>
    <w:tmpl w:val="397A4686"/>
    <w:lvl w:ilvl="0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9" w15:restartNumberingAfterBreak="0">
    <w:nsid w:val="15AC11B2"/>
    <w:multiLevelType w:val="hybridMultilevel"/>
    <w:tmpl w:val="E498479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18580BB9"/>
    <w:multiLevelType w:val="hybridMultilevel"/>
    <w:tmpl w:val="450400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8802AA2"/>
    <w:multiLevelType w:val="hybridMultilevel"/>
    <w:tmpl w:val="79E4C4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1CCF74C4"/>
    <w:multiLevelType w:val="hybridMultilevel"/>
    <w:tmpl w:val="49A233B4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20D24883"/>
    <w:multiLevelType w:val="hybridMultilevel"/>
    <w:tmpl w:val="2A3EE2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1360D9"/>
    <w:multiLevelType w:val="hybridMultilevel"/>
    <w:tmpl w:val="0C36D18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8F15C61"/>
    <w:multiLevelType w:val="hybridMultilevel"/>
    <w:tmpl w:val="885C9F2E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6" w15:restartNumberingAfterBreak="0">
    <w:nsid w:val="2C8B08C0"/>
    <w:multiLevelType w:val="hybridMultilevel"/>
    <w:tmpl w:val="34B20830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7" w15:restartNumberingAfterBreak="0">
    <w:nsid w:val="2CC36098"/>
    <w:multiLevelType w:val="hybridMultilevel"/>
    <w:tmpl w:val="68B69186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8" w15:restartNumberingAfterBreak="0">
    <w:nsid w:val="2EFC3FA0"/>
    <w:multiLevelType w:val="hybridMultilevel"/>
    <w:tmpl w:val="24C4D7C6"/>
    <w:lvl w:ilvl="0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9" w15:restartNumberingAfterBreak="0">
    <w:nsid w:val="32B46399"/>
    <w:multiLevelType w:val="hybridMultilevel"/>
    <w:tmpl w:val="746004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330F08F6"/>
    <w:multiLevelType w:val="hybridMultilevel"/>
    <w:tmpl w:val="F5C08E7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343D549B"/>
    <w:multiLevelType w:val="hybridMultilevel"/>
    <w:tmpl w:val="260A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D75F0"/>
    <w:multiLevelType w:val="hybridMultilevel"/>
    <w:tmpl w:val="AD6476F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3CF665CE"/>
    <w:multiLevelType w:val="hybridMultilevel"/>
    <w:tmpl w:val="11541EF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F8517F1"/>
    <w:multiLevelType w:val="hybridMultilevel"/>
    <w:tmpl w:val="6D9200DA"/>
    <w:lvl w:ilvl="0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25" w15:restartNumberingAfterBreak="0">
    <w:nsid w:val="42A337B2"/>
    <w:multiLevelType w:val="hybridMultilevel"/>
    <w:tmpl w:val="E8AE0B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76708AF"/>
    <w:multiLevelType w:val="hybridMultilevel"/>
    <w:tmpl w:val="1AD6F0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83A3ECA"/>
    <w:multiLevelType w:val="hybridMultilevel"/>
    <w:tmpl w:val="BF42C2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9EE7AF1"/>
    <w:multiLevelType w:val="hybridMultilevel"/>
    <w:tmpl w:val="4D6473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B5C5696"/>
    <w:multiLevelType w:val="hybridMultilevel"/>
    <w:tmpl w:val="2E7C973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4B7E620B"/>
    <w:multiLevelType w:val="hybridMultilevel"/>
    <w:tmpl w:val="265E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51285A"/>
    <w:multiLevelType w:val="hybridMultilevel"/>
    <w:tmpl w:val="7966B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2B81B85"/>
    <w:multiLevelType w:val="hybridMultilevel"/>
    <w:tmpl w:val="DFB230E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5A04197F"/>
    <w:multiLevelType w:val="hybridMultilevel"/>
    <w:tmpl w:val="8FF05A96"/>
    <w:lvl w:ilvl="0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34" w15:restartNumberingAfterBreak="0">
    <w:nsid w:val="5CAB6118"/>
    <w:multiLevelType w:val="hybridMultilevel"/>
    <w:tmpl w:val="50868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CE75E90"/>
    <w:multiLevelType w:val="hybridMultilevel"/>
    <w:tmpl w:val="BB26580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13D3DD0"/>
    <w:multiLevelType w:val="hybridMultilevel"/>
    <w:tmpl w:val="28D85D1E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7" w15:restartNumberingAfterBreak="0">
    <w:nsid w:val="68D90F6A"/>
    <w:multiLevelType w:val="hybridMultilevel"/>
    <w:tmpl w:val="1FC05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152604"/>
    <w:multiLevelType w:val="hybridMultilevel"/>
    <w:tmpl w:val="302A213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9CD2620"/>
    <w:multiLevelType w:val="hybridMultilevel"/>
    <w:tmpl w:val="8D9E6C3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6AF74157"/>
    <w:multiLevelType w:val="hybridMultilevel"/>
    <w:tmpl w:val="D18C7DCE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1" w15:restartNumberingAfterBreak="0">
    <w:nsid w:val="6F3A5475"/>
    <w:multiLevelType w:val="hybridMultilevel"/>
    <w:tmpl w:val="8EBC40A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 w15:restartNumberingAfterBreak="0">
    <w:nsid w:val="70843E2A"/>
    <w:multiLevelType w:val="hybridMultilevel"/>
    <w:tmpl w:val="39C6AC8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42C7BB0"/>
    <w:multiLevelType w:val="hybridMultilevel"/>
    <w:tmpl w:val="D25E0034"/>
    <w:lvl w:ilvl="0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44" w15:restartNumberingAfterBreak="0">
    <w:nsid w:val="7E4C79D3"/>
    <w:multiLevelType w:val="hybridMultilevel"/>
    <w:tmpl w:val="AD52B0AE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5" w15:restartNumberingAfterBreak="0">
    <w:nsid w:val="7FF51E08"/>
    <w:multiLevelType w:val="hybridMultilevel"/>
    <w:tmpl w:val="95A0C5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"/>
  </w:num>
  <w:num w:numId="4">
    <w:abstractNumId w:val="1"/>
  </w:num>
  <w:num w:numId="5">
    <w:abstractNumId w:val="17"/>
  </w:num>
  <w:num w:numId="6">
    <w:abstractNumId w:val="35"/>
  </w:num>
  <w:num w:numId="7">
    <w:abstractNumId w:val="38"/>
  </w:num>
  <w:num w:numId="8">
    <w:abstractNumId w:val="37"/>
  </w:num>
  <w:num w:numId="9">
    <w:abstractNumId w:val="24"/>
  </w:num>
  <w:num w:numId="10">
    <w:abstractNumId w:val="26"/>
  </w:num>
  <w:num w:numId="11">
    <w:abstractNumId w:val="42"/>
  </w:num>
  <w:num w:numId="12">
    <w:abstractNumId w:val="14"/>
  </w:num>
  <w:num w:numId="13">
    <w:abstractNumId w:val="30"/>
  </w:num>
  <w:num w:numId="14">
    <w:abstractNumId w:val="11"/>
  </w:num>
  <w:num w:numId="15">
    <w:abstractNumId w:val="31"/>
  </w:num>
  <w:num w:numId="16">
    <w:abstractNumId w:val="28"/>
  </w:num>
  <w:num w:numId="17">
    <w:abstractNumId w:val="22"/>
  </w:num>
  <w:num w:numId="18">
    <w:abstractNumId w:val="7"/>
  </w:num>
  <w:num w:numId="19">
    <w:abstractNumId w:val="16"/>
  </w:num>
  <w:num w:numId="20">
    <w:abstractNumId w:val="33"/>
  </w:num>
  <w:num w:numId="21">
    <w:abstractNumId w:val="8"/>
  </w:num>
  <w:num w:numId="22">
    <w:abstractNumId w:val="25"/>
  </w:num>
  <w:num w:numId="23">
    <w:abstractNumId w:val="15"/>
  </w:num>
  <w:num w:numId="24">
    <w:abstractNumId w:val="43"/>
  </w:num>
  <w:num w:numId="25">
    <w:abstractNumId w:val="19"/>
  </w:num>
  <w:num w:numId="26">
    <w:abstractNumId w:val="36"/>
  </w:num>
  <w:num w:numId="27">
    <w:abstractNumId w:val="10"/>
  </w:num>
  <w:num w:numId="28">
    <w:abstractNumId w:val="5"/>
  </w:num>
  <w:num w:numId="29">
    <w:abstractNumId w:val="21"/>
  </w:num>
  <w:num w:numId="30">
    <w:abstractNumId w:val="44"/>
  </w:num>
  <w:num w:numId="31">
    <w:abstractNumId w:val="45"/>
  </w:num>
  <w:num w:numId="32">
    <w:abstractNumId w:val="32"/>
  </w:num>
  <w:num w:numId="33">
    <w:abstractNumId w:val="34"/>
  </w:num>
  <w:num w:numId="34">
    <w:abstractNumId w:val="4"/>
  </w:num>
  <w:num w:numId="35">
    <w:abstractNumId w:val="12"/>
  </w:num>
  <w:num w:numId="36">
    <w:abstractNumId w:val="3"/>
  </w:num>
  <w:num w:numId="37">
    <w:abstractNumId w:val="41"/>
  </w:num>
  <w:num w:numId="38">
    <w:abstractNumId w:val="18"/>
  </w:num>
  <w:num w:numId="39">
    <w:abstractNumId w:val="20"/>
  </w:num>
  <w:num w:numId="40">
    <w:abstractNumId w:val="13"/>
  </w:num>
  <w:num w:numId="41">
    <w:abstractNumId w:val="23"/>
  </w:num>
  <w:num w:numId="42">
    <w:abstractNumId w:val="29"/>
  </w:num>
  <w:num w:numId="43">
    <w:abstractNumId w:val="6"/>
  </w:num>
  <w:num w:numId="44">
    <w:abstractNumId w:val="39"/>
  </w:num>
  <w:num w:numId="45">
    <w:abstractNumId w:val="9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83"/>
    <w:rsid w:val="00035A21"/>
    <w:rsid w:val="000C1E83"/>
    <w:rsid w:val="002456FA"/>
    <w:rsid w:val="00261264"/>
    <w:rsid w:val="002933C6"/>
    <w:rsid w:val="002F0455"/>
    <w:rsid w:val="00333799"/>
    <w:rsid w:val="0036181B"/>
    <w:rsid w:val="003767C9"/>
    <w:rsid w:val="00390D46"/>
    <w:rsid w:val="00391260"/>
    <w:rsid w:val="004D5CED"/>
    <w:rsid w:val="00512A91"/>
    <w:rsid w:val="005655BB"/>
    <w:rsid w:val="005C2E5D"/>
    <w:rsid w:val="006C0C5E"/>
    <w:rsid w:val="006E73CC"/>
    <w:rsid w:val="0074408B"/>
    <w:rsid w:val="00811D3A"/>
    <w:rsid w:val="008F4A6E"/>
    <w:rsid w:val="009D2E36"/>
    <w:rsid w:val="009E502C"/>
    <w:rsid w:val="00A00026"/>
    <w:rsid w:val="00A156D6"/>
    <w:rsid w:val="00A37E23"/>
    <w:rsid w:val="00B93505"/>
    <w:rsid w:val="00C00ACD"/>
    <w:rsid w:val="00C1536E"/>
    <w:rsid w:val="00C91F64"/>
    <w:rsid w:val="00C93723"/>
    <w:rsid w:val="00CD1023"/>
    <w:rsid w:val="00CD62D9"/>
    <w:rsid w:val="00CE390A"/>
    <w:rsid w:val="00D74F10"/>
    <w:rsid w:val="00D82AC6"/>
    <w:rsid w:val="00DB0809"/>
    <w:rsid w:val="00DF038C"/>
    <w:rsid w:val="00E07A79"/>
    <w:rsid w:val="00E453F4"/>
    <w:rsid w:val="00E74AF7"/>
    <w:rsid w:val="00FE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67352"/>
  <w15:chartTrackingRefBased/>
  <w15:docId w15:val="{28DDBCB5-40C7-4943-AF1D-2B4AE5E2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1E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3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12B28-B825-4DFD-ADAC-F45136ED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Jenifer  (DOE)</dc:creator>
  <cp:keywords/>
  <dc:description/>
  <cp:lastModifiedBy>Palmer, Jenifer  (DOE)</cp:lastModifiedBy>
  <cp:revision>2</cp:revision>
  <cp:lastPrinted>2019-08-12T19:13:00Z</cp:lastPrinted>
  <dcterms:created xsi:type="dcterms:W3CDTF">2021-04-22T12:28:00Z</dcterms:created>
  <dcterms:modified xsi:type="dcterms:W3CDTF">2021-04-22T12:28:00Z</dcterms:modified>
</cp:coreProperties>
</file>